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физической культуры и спорта</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физической культуры и спорта»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«Теория физической культуры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физической культуры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«Теория физической культуры и спорта» относится к обязательной части, является дисциплиной Блока Б1. «Дисциплины (модули)». Предметно- 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Теории и технологии физического воспитания детей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Теории и технологии физкультурного образования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 ОПК-8, УК-6,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построения занятий как объективная необходимость реализации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Многообразие и классификация видов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развитии спортивного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подготовки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построения занятий как объективная необходимость реализации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функции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Многообразие и классификация видов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развитии спортивного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достижения и тенденция их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построения занятий как объективная необходимость реализации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функции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достижения и тенденция их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84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методика физической культуры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методика физической культуры как наука и учебная дисциплина. Средства формирования физической культуры человека. Методы формирования физической культуры человека. Общепедагогические и специфические принципы занятий. Формирование знаний, двигательных умений и навыков как процесс и результат обучения. Общая характеристика физических способностей. Понятия о физических способностях, основные формы их проведения. Основные закономерности развития физических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форм построения занятий как объективная необходимость реализации физической культуры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построения занятий. Разнообразие форм построения занятий как объективная необходимость реализации физической культуры. Планирование, контроль и учет в процессе занятий физическими упражнениями. Классификация физических упражнений. Характеристики техники физических упражнений. Управление процессом обучения. Принципы развития физических способностей. Воспитание личностных качеств, занимающихся физическими упражнениями.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спорта</w:t>
            </w:r>
          </w:p>
        </w:tc>
      </w:tr>
      <w:tr>
        <w:trPr>
          <w:trHeight w:hRule="exact" w:val="4590.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методика спорта как совокупность научно-прикладных знаний о сущности и тенденциях развития спорта в качестве неотъемлемого компонента культуры общества и фактора социальной системы воспитания, о наиболее существенных закономерностях, путях и условиях спортив­ной деятельности, спортивного совершенствования и оптимального построения системы подготовки спортсмена.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Основная проблематика общей теории и методики спорта, ее становление, состояние и перспективы развития. Связи теории спорта с дру­гими научными знаниями, ее значение для практики.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Теория и методика спорта как учебный курс; его содержание (сжатая ха­рактеристика), роль и место в системе высшего физкультурного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Основные понятия, относящиеся к спорту: спорт в узком и широком смысле слова; подготовка спортсмена, система подготовки спортсмена, спор­тивная тренировка, спортивная деятельность, спортивное движение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Характеристика функций спорта в современном обществе: престижной; соревновательно- эталонной; эвристически-достиженческой; личностно-направленного воспитания, обучения и развития; оздоровительно-рекреативной; эмо­ционально-зрелищной; коммуникативной; экономической и т.п.</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Гуманистическая направленность функций спорта. Негативные явления в спорте.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Типы и виды спорта, сложившиеся в мире, России: общедоступный (массовый) спорт (школьно-студенческий, профессионально-прикладной, физкультурно-кондиционный, оздоровительно-рекреативный, физкультурно-реабили-гационный) и спорт высших достижений (супердостиженческий - любительский, профессиональный, профессионально-коммерческий - достиженческо-соммерческий, зрелищно- коммерческий).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Многообразие и классификация видов спорта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спорта. Спортивная дисциплина. Вид соревнований. Классификация по особенностям предмета состязаний и характеру двигательной активности. Классификация по особенностям проявления физических и технических способностей спортсмена. Спортивная квалификация. Задачи Единой всероссийской спортивной классификации.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в развитии спортивного движения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Заполните таблицу "Критерии технического мастерства" (на примере избранного вида спорта).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подготовки спортсмена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Заполнить план-схему обучения какому-либо технико-тактическому действию (на примере избранного вида спорта) и подготовить по ней мультимедийную презентацию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форм построения занятий как объективная необходимость реализации физической культуры</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уроков по целевой направленности, по предметному содержанию, по преимущественному решению задач.</w:t>
            </w:r>
          </w:p>
          <w:p>
            <w:pPr>
              <w:jc w:val="left"/>
              <w:spacing w:after="0" w:line="240" w:lineRule="auto"/>
              <w:rPr>
                <w:sz w:val="24"/>
                <w:szCs w:val="24"/>
              </w:rPr>
            </w:pPr>
            <w:r>
              <w:rPr>
                <w:rFonts w:ascii="Times New Roman" w:hAnsi="Times New Roman" w:cs="Times New Roman"/>
                <w:color w:val="#000000"/>
                <w:sz w:val="24"/>
                <w:szCs w:val="24"/>
              </w:rPr>
              <w:t> 2.	Классификация неурочных занятий по целевой направленности, времени проведе-ния, руководству, составу занимающихся.</w:t>
            </w:r>
          </w:p>
          <w:p>
            <w:pPr>
              <w:jc w:val="left"/>
              <w:spacing w:after="0" w:line="240" w:lineRule="auto"/>
              <w:rPr>
                <w:sz w:val="24"/>
                <w:szCs w:val="24"/>
              </w:rPr>
            </w:pPr>
            <w:r>
              <w:rPr>
                <w:rFonts w:ascii="Times New Roman" w:hAnsi="Times New Roman" w:cs="Times New Roman"/>
                <w:color w:val="#000000"/>
                <w:sz w:val="24"/>
                <w:szCs w:val="24"/>
              </w:rPr>
              <w:t> 3.	Структура урока (понятие, связь с содержанием).</w:t>
            </w:r>
          </w:p>
          <w:p>
            <w:pPr>
              <w:jc w:val="left"/>
              <w:spacing w:after="0" w:line="240" w:lineRule="auto"/>
              <w:rPr>
                <w:sz w:val="24"/>
                <w:szCs w:val="24"/>
              </w:rPr>
            </w:pPr>
            <w:r>
              <w:rPr>
                <w:rFonts w:ascii="Times New Roman" w:hAnsi="Times New Roman" w:cs="Times New Roman"/>
                <w:color w:val="#000000"/>
                <w:sz w:val="24"/>
                <w:szCs w:val="24"/>
              </w:rPr>
              <w:t> 4.	Подготовка педагога к уроку.</w:t>
            </w:r>
          </w:p>
          <w:p>
            <w:pPr>
              <w:jc w:val="left"/>
              <w:spacing w:after="0" w:line="240" w:lineRule="auto"/>
              <w:rPr>
                <w:sz w:val="24"/>
                <w:szCs w:val="24"/>
              </w:rPr>
            </w:pPr>
            <w:r>
              <w:rPr>
                <w:rFonts w:ascii="Times New Roman" w:hAnsi="Times New Roman" w:cs="Times New Roman"/>
                <w:color w:val="#000000"/>
                <w:sz w:val="24"/>
                <w:szCs w:val="24"/>
              </w:rPr>
              <w:t> 5.	Требования к содержанию и методике проведения урока.</w:t>
            </w:r>
          </w:p>
          <w:p>
            <w:pPr>
              <w:jc w:val="left"/>
              <w:spacing w:after="0" w:line="240" w:lineRule="auto"/>
              <w:rPr>
                <w:sz w:val="24"/>
                <w:szCs w:val="24"/>
              </w:rPr>
            </w:pPr>
            <w:r>
              <w:rPr>
                <w:rFonts w:ascii="Times New Roman" w:hAnsi="Times New Roman" w:cs="Times New Roman"/>
                <w:color w:val="#000000"/>
                <w:sz w:val="24"/>
                <w:szCs w:val="24"/>
              </w:rPr>
              <w:t> 6.	Содержание и форма физических упражнений</w:t>
            </w:r>
          </w:p>
          <w:p>
            <w:pPr>
              <w:jc w:val="left"/>
              <w:spacing w:after="0" w:line="240" w:lineRule="auto"/>
              <w:rPr>
                <w:sz w:val="24"/>
                <w:szCs w:val="24"/>
              </w:rPr>
            </w:pPr>
            <w:r>
              <w:rPr>
                <w:rFonts w:ascii="Times New Roman" w:hAnsi="Times New Roman" w:cs="Times New Roman"/>
                <w:color w:val="#000000"/>
                <w:sz w:val="24"/>
                <w:szCs w:val="24"/>
              </w:rPr>
              <w:t> 7.	Естественные силы природы и гигиенические факторы</w:t>
            </w:r>
          </w:p>
          <w:p>
            <w:pPr>
              <w:jc w:val="left"/>
              <w:spacing w:after="0" w:line="240" w:lineRule="auto"/>
              <w:rPr>
                <w:sz w:val="24"/>
                <w:szCs w:val="24"/>
              </w:rPr>
            </w:pPr>
            <w:r>
              <w:rPr>
                <w:rFonts w:ascii="Times New Roman" w:hAnsi="Times New Roman" w:cs="Times New Roman"/>
                <w:color w:val="#000000"/>
                <w:sz w:val="24"/>
                <w:szCs w:val="24"/>
              </w:rPr>
              <w:t> 8.	Характеристики техники физических упражнений</w:t>
            </w:r>
          </w:p>
          <w:p>
            <w:pPr>
              <w:jc w:val="left"/>
              <w:spacing w:after="0" w:line="240" w:lineRule="auto"/>
              <w:rPr>
                <w:sz w:val="24"/>
                <w:szCs w:val="24"/>
              </w:rPr>
            </w:pPr>
            <w:r>
              <w:rPr>
                <w:rFonts w:ascii="Times New Roman" w:hAnsi="Times New Roman" w:cs="Times New Roman"/>
                <w:color w:val="#000000"/>
                <w:sz w:val="24"/>
                <w:szCs w:val="24"/>
              </w:rPr>
              <w:t> 9.	Понятие о технике физических упражнений</w:t>
            </w:r>
          </w:p>
          <w:p>
            <w:pPr>
              <w:jc w:val="left"/>
              <w:spacing w:after="0" w:line="240" w:lineRule="auto"/>
              <w:rPr>
                <w:sz w:val="24"/>
                <w:szCs w:val="24"/>
              </w:rPr>
            </w:pPr>
            <w:r>
              <w:rPr>
                <w:rFonts w:ascii="Times New Roman" w:hAnsi="Times New Roman" w:cs="Times New Roman"/>
                <w:color w:val="#000000"/>
                <w:sz w:val="24"/>
                <w:szCs w:val="24"/>
              </w:rPr>
              <w:t> 10.	Пространственные характеристики</w:t>
            </w:r>
          </w:p>
          <w:p>
            <w:pPr>
              <w:jc w:val="left"/>
              <w:spacing w:after="0" w:line="240" w:lineRule="auto"/>
              <w:rPr>
                <w:sz w:val="24"/>
                <w:szCs w:val="24"/>
              </w:rPr>
            </w:pPr>
            <w:r>
              <w:rPr>
                <w:rFonts w:ascii="Times New Roman" w:hAnsi="Times New Roman" w:cs="Times New Roman"/>
                <w:color w:val="#000000"/>
                <w:sz w:val="24"/>
                <w:szCs w:val="24"/>
              </w:rPr>
              <w:t> 11.	Временные характеристики</w:t>
            </w:r>
          </w:p>
          <w:p>
            <w:pPr>
              <w:jc w:val="left"/>
              <w:spacing w:after="0" w:line="240" w:lineRule="auto"/>
              <w:rPr>
                <w:sz w:val="24"/>
                <w:szCs w:val="24"/>
              </w:rPr>
            </w:pPr>
            <w:r>
              <w:rPr>
                <w:rFonts w:ascii="Times New Roman" w:hAnsi="Times New Roman" w:cs="Times New Roman"/>
                <w:color w:val="#000000"/>
                <w:sz w:val="24"/>
                <w:szCs w:val="24"/>
              </w:rPr>
              <w:t> 12.	Управление процессом обучения.</w:t>
            </w:r>
          </w:p>
          <w:p>
            <w:pPr>
              <w:jc w:val="left"/>
              <w:spacing w:after="0" w:line="240" w:lineRule="auto"/>
              <w:rPr>
                <w:sz w:val="24"/>
                <w:szCs w:val="24"/>
              </w:rPr>
            </w:pPr>
            <w:r>
              <w:rPr>
                <w:rFonts w:ascii="Times New Roman" w:hAnsi="Times New Roman" w:cs="Times New Roman"/>
                <w:color w:val="#000000"/>
                <w:sz w:val="24"/>
                <w:szCs w:val="24"/>
              </w:rPr>
              <w:t> 13.	Предупреждение и исправление ошибок</w:t>
            </w:r>
          </w:p>
          <w:p>
            <w:pPr>
              <w:jc w:val="left"/>
              <w:spacing w:after="0" w:line="240" w:lineRule="auto"/>
              <w:rPr>
                <w:sz w:val="24"/>
                <w:szCs w:val="24"/>
              </w:rPr>
            </w:pPr>
            <w:r>
              <w:rPr>
                <w:rFonts w:ascii="Times New Roman" w:hAnsi="Times New Roman" w:cs="Times New Roman"/>
                <w:color w:val="#000000"/>
                <w:sz w:val="24"/>
                <w:szCs w:val="24"/>
              </w:rPr>
              <w:t> 14.	Этап начального разучивания.</w:t>
            </w:r>
          </w:p>
          <w:p>
            <w:pPr>
              <w:jc w:val="left"/>
              <w:spacing w:after="0" w:line="240" w:lineRule="auto"/>
              <w:rPr>
                <w:sz w:val="24"/>
                <w:szCs w:val="24"/>
              </w:rPr>
            </w:pPr>
            <w:r>
              <w:rPr>
                <w:rFonts w:ascii="Times New Roman" w:hAnsi="Times New Roman" w:cs="Times New Roman"/>
                <w:color w:val="#000000"/>
                <w:sz w:val="24"/>
                <w:szCs w:val="24"/>
              </w:rPr>
              <w:t> 15.	Этап углубленного разучивания.</w:t>
            </w:r>
          </w:p>
          <w:p>
            <w:pPr>
              <w:jc w:val="left"/>
              <w:spacing w:after="0" w:line="240" w:lineRule="auto"/>
              <w:rPr>
                <w:sz w:val="24"/>
                <w:szCs w:val="24"/>
              </w:rPr>
            </w:pPr>
            <w:r>
              <w:rPr>
                <w:rFonts w:ascii="Times New Roman" w:hAnsi="Times New Roman" w:cs="Times New Roman"/>
                <w:color w:val="#000000"/>
                <w:sz w:val="24"/>
                <w:szCs w:val="24"/>
              </w:rPr>
              <w:t> 16.	Этап закрепления и совершенствования.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спорта</w:t>
            </w:r>
          </w:p>
        </w:tc>
      </w:tr>
      <w:tr>
        <w:trPr>
          <w:trHeight w:hRule="exact" w:val="21.31518"/>
        </w:trPr>
        <w:tc>
          <w:tcPr>
            <w:tcW w:w="9640" w:type="dxa"/>
          </w:tcPr>
          <w:p/>
        </w:tc>
      </w:tr>
      <w:tr>
        <w:trPr>
          <w:trHeight w:hRule="exact" w:val="1333.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понятия, относящиеся к спорту.</w:t>
            </w:r>
          </w:p>
          <w:p>
            <w:pPr>
              <w:jc w:val="left"/>
              <w:spacing w:after="0" w:line="240" w:lineRule="auto"/>
              <w:rPr>
                <w:sz w:val="24"/>
                <w:szCs w:val="24"/>
              </w:rPr>
            </w:pPr>
            <w:r>
              <w:rPr>
                <w:rFonts w:ascii="Times New Roman" w:hAnsi="Times New Roman" w:cs="Times New Roman"/>
                <w:color w:val="#000000"/>
                <w:sz w:val="24"/>
                <w:szCs w:val="24"/>
              </w:rPr>
              <w:t> 2. Общие и специфические социальные функции спорта.</w:t>
            </w:r>
          </w:p>
          <w:p>
            <w:pPr>
              <w:jc w:val="left"/>
              <w:spacing w:after="0" w:line="240" w:lineRule="auto"/>
              <w:rPr>
                <w:sz w:val="24"/>
                <w:szCs w:val="24"/>
              </w:rPr>
            </w:pPr>
            <w:r>
              <w:rPr>
                <w:rFonts w:ascii="Times New Roman" w:hAnsi="Times New Roman" w:cs="Times New Roman"/>
                <w:color w:val="#000000"/>
                <w:sz w:val="24"/>
                <w:szCs w:val="24"/>
              </w:rPr>
              <w:t> 3. Многообразие видов спорта</w:t>
            </w:r>
          </w:p>
          <w:p>
            <w:pPr>
              <w:jc w:val="left"/>
              <w:spacing w:after="0" w:line="240" w:lineRule="auto"/>
              <w:rPr>
                <w:sz w:val="24"/>
                <w:szCs w:val="24"/>
              </w:rPr>
            </w:pPr>
            <w:r>
              <w:rPr>
                <w:rFonts w:ascii="Times New Roman" w:hAnsi="Times New Roman" w:cs="Times New Roman"/>
                <w:color w:val="#000000"/>
                <w:sz w:val="24"/>
                <w:szCs w:val="24"/>
              </w:rPr>
              <w:t> 4. Классификация видов спорта по особенностям предмета состязаний и характеру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двигательной активности.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функции спорта</w:t>
            </w:r>
          </w:p>
        </w:tc>
      </w:tr>
      <w:tr>
        <w:trPr>
          <w:trHeight w:hRule="exact" w:val="21.31501"/>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Социальные функции спорта. Основные направления в развитии спортивного движения</w:t>
            </w:r>
          </w:p>
          <w:p>
            <w:pPr>
              <w:jc w:val="left"/>
              <w:spacing w:after="0" w:line="240" w:lineRule="auto"/>
              <w:rPr>
                <w:sz w:val="24"/>
                <w:szCs w:val="24"/>
              </w:rPr>
            </w:pPr>
            <w:r>
              <w:rPr>
                <w:rFonts w:ascii="Times New Roman" w:hAnsi="Times New Roman" w:cs="Times New Roman"/>
                <w:color w:val="#000000"/>
                <w:sz w:val="24"/>
                <w:szCs w:val="24"/>
              </w:rPr>
              <w:t> 2.	Оздоровительная направленность как важнейший принцип системы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3.	Технология воспитательной деятельности педагога по физической культуре и спорту</w:t>
            </w:r>
          </w:p>
          <w:p>
            <w:pPr>
              <w:jc w:val="left"/>
              <w:spacing w:after="0" w:line="240" w:lineRule="auto"/>
              <w:rPr>
                <w:sz w:val="24"/>
                <w:szCs w:val="24"/>
              </w:rPr>
            </w:pPr>
            <w:r>
              <w:rPr>
                <w:rFonts w:ascii="Times New Roman" w:hAnsi="Times New Roman" w:cs="Times New Roman"/>
                <w:color w:val="#000000"/>
                <w:sz w:val="24"/>
                <w:szCs w:val="24"/>
              </w:rPr>
              <w:t> 4.	Связь различных видов воспитания в процессе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5.	Направленное формирование личности в процессе физического воспитания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достижения и тенденция их развития</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системы тренировочно-соревновательной подготовки: научно- методическое и информационное обеспечение; подготовка кадров; материально- техническое обеспечение; медико-биологическое обеспечение; факторы внешней среды.</w:t>
            </w:r>
          </w:p>
          <w:p>
            <w:pPr>
              <w:jc w:val="left"/>
              <w:spacing w:after="0" w:line="240" w:lineRule="auto"/>
              <w:rPr>
                <w:sz w:val="24"/>
                <w:szCs w:val="24"/>
              </w:rPr>
            </w:pPr>
            <w:r>
              <w:rPr>
                <w:rFonts w:ascii="Times New Roman" w:hAnsi="Times New Roman" w:cs="Times New Roman"/>
                <w:color w:val="#000000"/>
                <w:sz w:val="24"/>
                <w:szCs w:val="24"/>
              </w:rPr>
              <w:t> 2.	Соревнование как средство и метод подготовки спортсмена; разновидности сорев- нований.</w:t>
            </w:r>
          </w:p>
          <w:p>
            <w:pPr>
              <w:jc w:val="left"/>
              <w:spacing w:after="0" w:line="240" w:lineRule="auto"/>
              <w:rPr>
                <w:sz w:val="24"/>
                <w:szCs w:val="24"/>
              </w:rPr>
            </w:pPr>
            <w:r>
              <w:rPr>
                <w:rFonts w:ascii="Times New Roman" w:hAnsi="Times New Roman" w:cs="Times New Roman"/>
                <w:color w:val="#000000"/>
                <w:sz w:val="24"/>
                <w:szCs w:val="24"/>
              </w:rPr>
              <w:t> 3.	Факторы, влияющие на динамику спортивных достижений: индивидуальная ода- рённость; эффективность системы подготовки; размах спортивного движения.</w:t>
            </w:r>
          </w:p>
          <w:p>
            <w:pPr>
              <w:jc w:val="left"/>
              <w:spacing w:after="0" w:line="240" w:lineRule="auto"/>
              <w:rPr>
                <w:sz w:val="24"/>
                <w:szCs w:val="24"/>
              </w:rPr>
            </w:pPr>
            <w:r>
              <w:rPr>
                <w:rFonts w:ascii="Times New Roman" w:hAnsi="Times New Roman" w:cs="Times New Roman"/>
                <w:color w:val="#000000"/>
                <w:sz w:val="24"/>
                <w:szCs w:val="24"/>
              </w:rPr>
              <w:t> 4.	Характеристика системы тренировочно-соревновательной подготовки: научно- методическое и информационное обеспечение; подготовка кадров; материально- техническое обеспечение; медико-биологическое обеспечение; факторы внешней среды.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физической культуры и спорта»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https://urait.ru/bcode/492988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Двигательные</w:t>
            </w:r>
            <w:r>
              <w:rPr/>
              <w:t xml:space="preserve"> </w:t>
            </w:r>
            <w:r>
              <w:rPr>
                <w:rFonts w:ascii="Times New Roman" w:hAnsi="Times New Roman" w:cs="Times New Roman"/>
                <w:color w:val="#000000"/>
                <w:sz w:val="24"/>
                <w:szCs w:val="24"/>
              </w:rPr>
              <w:t>способности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физические</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Разделы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Германов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https://urait.ru/bcode/492669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Ямалетдинова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Еркомайшвили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713.68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https://urait.ru/bcode/493684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https://urait.ru/bcode/492462</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2023-2024_ФГОС3++2023_Бак-ЗФО-ПО(ФК)(23)_plx_Теория физической культуры и спорта</dc:title>
  <dc:creator>FastReport.NET</dc:creator>
</cp:coreProperties>
</file>